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Kérelem hátrányos helyzetű </w:t>
      </w:r>
      <w:bookmarkEnd w:id="1"/>
      <w:r>
        <w:rPr>
          <w:rFonts w:ascii="Arial" w:hAnsi="Arial" w:cs="Arial"/>
          <w:b/>
        </w:rPr>
        <w:t>vagy megváltozott munkaképességű személyek foglalkoztatásának bértámogatásához (csoportmentességi rendelet alapján)</w:t>
      </w:r>
    </w:p>
    <w:tbl>
      <w:tblPr>
        <w:tblW w:w="5033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15"/>
        <w:gridCol w:w="394"/>
        <w:gridCol w:w="1931"/>
        <w:gridCol w:w="426"/>
        <w:gridCol w:w="7"/>
        <w:gridCol w:w="1346"/>
        <w:gridCol w:w="37"/>
        <w:gridCol w:w="412"/>
        <w:gridCol w:w="32"/>
        <w:gridCol w:w="1682"/>
        <w:gridCol w:w="1050"/>
      </w:tblGrid>
      <w:tr>
        <w:trPr>
          <w:trHeight w:val="379"/>
          <w:jc w:val="center"/>
        </w:trPr>
        <w:tc>
          <w:tcPr>
            <w:tcW w:w="220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35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34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32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638"/>
          <w:jc w:val="center"/>
        </w:trPr>
        <w:tc>
          <w:tcPr>
            <w:tcW w:w="220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5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beosztás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számlavezető pénzintézet és Számlaszám</w:t>
            </w:r>
          </w:p>
        </w:tc>
        <w:tc>
          <w:tcPr>
            <w:tcW w:w="1834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273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489"/>
          <w:jc w:val="center"/>
        </w:trPr>
        <w:tc>
          <w:tcPr>
            <w:tcW w:w="2207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3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9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20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eastAsia="SimSun" w:hAnsi="Arial" w:cs="Arial"/>
                <w:b/>
                <w:sz w:val="18"/>
                <w:szCs w:val="16"/>
              </w:rPr>
              <w:t xml:space="preserve">Igényelt támogatás részletei </w:t>
            </w:r>
          </w:p>
        </w:tc>
        <w:bookmarkStart w:id="2" w:name="_GoBack"/>
        <w:bookmarkEnd w:id="2"/>
      </w:tr>
      <w:tr>
        <w:trPr>
          <w:trHeight w:val="619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Bruttó bér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(Ft/fő/hó)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Napi munkaidő (óra)</w:t>
            </w:r>
          </w:p>
        </w:tc>
      </w:tr>
      <w:tr>
        <w:trPr>
          <w:trHeight w:val="68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14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color w:val="0070C0"/>
                  <w:sz w:val="18"/>
                  <w:szCs w:val="18"/>
                </w:rPr>
                <w:t>www.munka.hu</w:t>
              </w:r>
            </w:hyperlink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58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3"/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</w:p>
        </w:tc>
      </w:tr>
      <w:tr>
        <w:trPr>
          <w:trHeight w:val="2210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12 havi (nettó) átlagos statisztikai állományi létszáma (ld. „Útmutató munkáltató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</w:p>
    <w:p>
      <w:pPr>
        <w:spacing w:before="40" w:after="40"/>
        <w:ind w:left="5670"/>
        <w:jc w:val="center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aláírása*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*Elektronikus ügyintézés esetén elektronikus aláírással és időbélyegzővel ellátva</w:t>
      </w:r>
    </w:p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bookmarkStart w:id="3" w:name="_Hlk125100334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Vármegyei Kormányhivatal </w:t>
    </w:r>
    <w:bookmarkEnd w:id="3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Bicskei Járási Hivatal 2060 Bicske, Szent István u. 7-11., </w:t>
    </w:r>
  </w:p>
  <w:p>
    <w:pPr>
      <w:pStyle w:val="llb"/>
      <w:ind w:left="-567"/>
      <w:jc w:val="center"/>
      <w:rPr>
        <w:rStyle w:val="Hiperhivatkozs"/>
        <w:rFonts w:ascii="Arial" w:hAnsi="Arial" w:cs="Arial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22/566-300,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Bicskei Járási Hivatal Foglalkoztatási 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2060 Bicske, Szent István u-7-11. Tel. 22/565-263,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hétfő, szerda, csütörtök: 8 – 14 óra, kedd: nincs ügyfélfogadás, péntek: 8 – 12 óra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posOffset>57150</wp:posOffset>
          </wp:positionH>
          <wp:positionV relativeFrom="paragraph">
            <wp:posOffset>-229235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Bicskei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  <w:style w:type="character" w:styleId="Mrltotthiperhivatkozs">
    <w:name w:val="FollowedHyperlink"/>
    <w:basedOn w:val="Bekezdsalapbettpusa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bicske@fejer.gov.hu" TargetMode="External"/><Relationship Id="rId1" Type="http://schemas.openxmlformats.org/officeDocument/2006/relationships/hyperlink" Target="mailto:hivatal.bicske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FE11C-BE24-4B39-B6A1-1A9B2C36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3</cp:revision>
  <dcterms:created xsi:type="dcterms:W3CDTF">2025-12-04T08:23:00Z</dcterms:created>
  <dcterms:modified xsi:type="dcterms:W3CDTF">2025-12-04T08:24:00Z</dcterms:modified>
</cp:coreProperties>
</file>